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2B6E" w14:textId="77777777" w:rsidR="00E10F96" w:rsidRDefault="00E10F96">
      <w:pPr>
        <w:jc w:val="center"/>
        <w:rPr>
          <w:rFonts w:ascii="Times New Roman" w:eastAsia="Times New Roman" w:hAnsi="Times New Roman" w:cs="Times New Roman"/>
        </w:rPr>
      </w:pPr>
    </w:p>
    <w:p w14:paraId="2F561D7D" w14:textId="77777777" w:rsidR="00A821FA" w:rsidRDefault="00A821FA">
      <w:pPr>
        <w:jc w:val="center"/>
        <w:rPr>
          <w:rFonts w:ascii="Times New Roman" w:eastAsia="Times New Roman" w:hAnsi="Times New Roman" w:cs="Times New Roman"/>
        </w:rPr>
      </w:pPr>
    </w:p>
    <w:p w14:paraId="1ABBF301" w14:textId="31704249" w:rsidR="00E10F96" w:rsidRDefault="00134AEF" w:rsidP="003E54C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Helpdesk</w:t>
      </w:r>
      <w:r w:rsidR="00CE6D56">
        <w:rPr>
          <w:b/>
          <w:sz w:val="32"/>
          <w:szCs w:val="32"/>
        </w:rPr>
        <w:t xml:space="preserve"> for Global Health and SRHR</w:t>
      </w:r>
    </w:p>
    <w:p w14:paraId="37663140" w14:textId="583D9667" w:rsidR="00E10F96" w:rsidRDefault="003E54C4">
      <w:pPr>
        <w:jc w:val="center"/>
        <w:rPr>
          <w:rFonts w:asciiTheme="minorHAnsi" w:eastAsia="Calibri" w:hAnsiTheme="minorHAnsi" w:cstheme="minorHAnsi"/>
          <w:color w:val="000000"/>
        </w:rPr>
      </w:pPr>
      <w:r w:rsidRPr="00803ABD">
        <w:rPr>
          <w:rFonts w:asciiTheme="minorHAnsi" w:eastAsia="Calibri" w:hAnsiTheme="minorHAnsi" w:cstheme="minorHAnsi"/>
          <w:color w:val="000000"/>
        </w:rPr>
        <w:t>SERVICE HOURS: MONDAY – FRIDAY, 9.00 – 16.00 CET</w:t>
      </w:r>
    </w:p>
    <w:p w14:paraId="0A6D08F3" w14:textId="2A2E502A" w:rsidR="00B9244E" w:rsidRDefault="00B9244E">
      <w:pPr>
        <w:jc w:val="center"/>
        <w:rPr>
          <w:rFonts w:asciiTheme="minorHAnsi" w:eastAsia="Calibri" w:hAnsiTheme="minorHAnsi" w:cstheme="minorHAnsi"/>
          <w:color w:val="000000"/>
        </w:rPr>
      </w:pPr>
    </w:p>
    <w:p w14:paraId="1BECBF41" w14:textId="4DBFD1F9" w:rsidR="00B9244E" w:rsidRPr="00803ABD" w:rsidRDefault="00B9244E">
      <w:pPr>
        <w:jc w:val="center"/>
        <w:rPr>
          <w:b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EE79D" wp14:editId="071C2730">
                <wp:simplePos x="0" y="0"/>
                <wp:positionH relativeFrom="column">
                  <wp:posOffset>-455930</wp:posOffset>
                </wp:positionH>
                <wp:positionV relativeFrom="paragraph">
                  <wp:posOffset>245110</wp:posOffset>
                </wp:positionV>
                <wp:extent cx="5782945" cy="3181350"/>
                <wp:effectExtent l="0" t="0" r="27305" b="19050"/>
                <wp:wrapSquare wrapText="bothSides"/>
                <wp:docPr id="9795033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4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52AE11B" w14:textId="77777777" w:rsidR="00B9244E" w:rsidRPr="002F1966" w:rsidRDefault="00B9244E" w:rsidP="00B9244E">
                            <w:pPr>
                              <w:tabs>
                                <w:tab w:val="clear" w:pos="-1134"/>
                                <w:tab w:val="clear" w:pos="0"/>
                                <w:tab w:val="left" w:pos="142"/>
                              </w:tabs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  <w:r w:rsidRPr="002F1966">
                              <w:rPr>
                                <w:rFonts w:asciiTheme="minorHAnsi" w:hAnsiTheme="minorHAnsi" w:cstheme="minorHAnsi"/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>ABOUT THE HELPDESK</w:t>
                            </w:r>
                          </w:p>
                          <w:p w14:paraId="390AC50A" w14:textId="566CA631" w:rsidR="00B9244E" w:rsidRDefault="00B9244E" w:rsidP="003802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0"/>
                                <w:tab w:val="left" w:pos="142"/>
                              </w:tabs>
                              <w:spacing w:after="80"/>
                              <w:contextualSpacing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purpose of the Helpdesk is to provide </w:t>
                            </w:r>
                            <w:proofErr w:type="spellStart"/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Sida</w:t>
                            </w:r>
                            <w:proofErr w:type="spellEnd"/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and Swedish Embassies with technical expertise in the areas of global health and SRHR relevant for </w:t>
                            </w:r>
                            <w:proofErr w:type="spellStart"/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Sida’s</w:t>
                            </w:r>
                            <w:proofErr w:type="spellEnd"/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development cooperation </w:t>
                            </w:r>
                            <w:r w:rsidR="0038024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work</w:t>
                            </w: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D35F09D" w14:textId="77777777" w:rsidR="00B9244E" w:rsidRDefault="00B9244E" w:rsidP="003802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0"/>
                                <w:tab w:val="left" w:pos="142"/>
                              </w:tabs>
                              <w:spacing w:after="80"/>
                              <w:contextualSpacing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Helpdesk is intended for </w:t>
                            </w:r>
                            <w:r w:rsidRPr="00DE0B2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short-term support of maximum 5 days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0B2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(40 hours)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at the</w:t>
                            </w: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maximum sum of 60 000 SEK. Tasks can be carried out as desk studies and/or as field assignments. </w:t>
                            </w:r>
                          </w:p>
                          <w:p w14:paraId="495CAB06" w14:textId="77777777" w:rsidR="00B9244E" w:rsidRDefault="00B9244E" w:rsidP="003802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0"/>
                                <w:tab w:val="left" w:pos="142"/>
                              </w:tabs>
                              <w:spacing w:after="80"/>
                              <w:contextualSpacing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Helpdesk is staffed by a team of consultants with broad thematic knowledge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Sida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country </w:t>
                            </w: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experience. The team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can provide services</w:t>
                            </w: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in English, Swedish, French, Spanish, Arabic and Russian.</w:t>
                            </w:r>
                          </w:p>
                          <w:p w14:paraId="0319E5EB" w14:textId="77777777" w:rsidR="00B9244E" w:rsidRDefault="00B9244E" w:rsidP="003802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0"/>
                                <w:tab w:val="left" w:pos="142"/>
                              </w:tabs>
                              <w:spacing w:after="80"/>
                              <w:contextualSpacing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3109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Helpdesk Advisor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has been appointed to act as your first point of contact</w:t>
                            </w:r>
                            <w:r w:rsidRPr="001825E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 The Advisor can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help with questions about the Term of Reference’s scope and details, assessing the level of effort, and appointing a suitable consultant for your needs.</w:t>
                            </w:r>
                          </w:p>
                          <w:p w14:paraId="13960898" w14:textId="77777777" w:rsidR="00B9244E" w:rsidRDefault="00B9244E" w:rsidP="003802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0"/>
                                <w:tab w:val="left" w:pos="142"/>
                              </w:tabs>
                              <w:spacing w:after="80"/>
                              <w:contextualSpacing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Helpdesk is </w:t>
                            </w:r>
                            <w:r w:rsidRPr="003109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financed by the</w:t>
                            </w: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09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Global Strategy for Sustainable Social Development</w:t>
                            </w:r>
                            <w:r w:rsidRPr="00E41D2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D466BD" w14:textId="77777777" w:rsidR="00B9244E" w:rsidRDefault="00B9244E" w:rsidP="003802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0"/>
                                <w:tab w:val="left" w:pos="142"/>
                              </w:tabs>
                              <w:spacing w:after="80"/>
                              <w:ind w:left="714" w:hanging="357"/>
                              <w:contextualSpacing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SOCIAL and TEMA units jointly manage the Helpdesk on behalf of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Sida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668615" w14:textId="77777777" w:rsidR="00B9244E" w:rsidRDefault="00B9244E" w:rsidP="00B92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EE7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pt;margin-top:19.3pt;width:455.35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" fillcolor="white [3201]" strokecolor="#f79646 [3209]" strokeweight=".5pt">
                <v:textbox>
                  <w:txbxContent>
                    <w:p w14:paraId="652AE11B" w14:textId="77777777" w:rsidR="00B9244E" w:rsidRPr="002F1966" w:rsidRDefault="00B9244E" w:rsidP="00B9244E">
                      <w:pPr>
                        <w:tabs>
                          <w:tab w:val="clear" w:pos="-1134"/>
                          <w:tab w:val="clear" w:pos="0"/>
                          <w:tab w:val="left" w:pos="142"/>
                        </w:tabs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984806" w:themeColor="accent6" w:themeShade="80"/>
                          <w:sz w:val="22"/>
                          <w:szCs w:val="22"/>
                        </w:rPr>
                      </w:pPr>
                      <w:r w:rsidRPr="002F1966">
                        <w:rPr>
                          <w:rFonts w:asciiTheme="minorHAnsi" w:hAnsiTheme="minorHAnsi" w:cstheme="minorHAnsi"/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>ABOUT THE HELPDESK</w:t>
                      </w:r>
                    </w:p>
                    <w:p w14:paraId="390AC50A" w14:textId="566CA631" w:rsidR="00B9244E" w:rsidRDefault="00B9244E" w:rsidP="003802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0"/>
                          <w:tab w:val="left" w:pos="142"/>
                        </w:tabs>
                        <w:spacing w:after="80"/>
                        <w:contextualSpacing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purpose of the Helpdesk is to provide </w:t>
                      </w:r>
                      <w:proofErr w:type="spellStart"/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Sida</w:t>
                      </w:r>
                      <w:proofErr w:type="spellEnd"/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and Swedish Embassies with technical expertise in the areas of global health and SRHR relevant for </w:t>
                      </w:r>
                      <w:proofErr w:type="spellStart"/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Sida’s</w:t>
                      </w:r>
                      <w:proofErr w:type="spellEnd"/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development cooperation </w:t>
                      </w:r>
                      <w:r w:rsidR="0038024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work</w:t>
                      </w: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D35F09D" w14:textId="77777777" w:rsidR="00B9244E" w:rsidRDefault="00B9244E" w:rsidP="003802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0"/>
                          <w:tab w:val="left" w:pos="142"/>
                        </w:tabs>
                        <w:spacing w:after="80"/>
                        <w:contextualSpacing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Helpdesk is intended for </w:t>
                      </w:r>
                      <w:r w:rsidRPr="00DE0B2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short-term support of maximum 5 days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E0B2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(40 hours)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at the</w:t>
                      </w: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maximum sum of 60 000 SEK. Tasks can be carried out as desk studies and/or as field assignments. </w:t>
                      </w:r>
                    </w:p>
                    <w:p w14:paraId="495CAB06" w14:textId="77777777" w:rsidR="00B9244E" w:rsidRDefault="00B9244E" w:rsidP="003802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0"/>
                          <w:tab w:val="left" w:pos="142"/>
                        </w:tabs>
                        <w:spacing w:after="80"/>
                        <w:contextualSpacing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Helpdesk is staffed by a team of consultants with broad thematic knowledge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Sida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country </w:t>
                      </w: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experience. The team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can provide services</w:t>
                      </w: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in English, Swedish, French, Spanish, Arabic and Russian.</w:t>
                      </w:r>
                    </w:p>
                    <w:p w14:paraId="0319E5EB" w14:textId="77777777" w:rsidR="00B9244E" w:rsidRDefault="00B9244E" w:rsidP="003802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0"/>
                          <w:tab w:val="left" w:pos="142"/>
                        </w:tabs>
                        <w:spacing w:after="80"/>
                        <w:contextualSpacing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3109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Helpdesk Advisor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has been appointed to act as your first point of contact</w:t>
                      </w:r>
                      <w:r w:rsidRPr="001825E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 The Advisor can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help with questions about the Term of Reference’s scope and details, assessing the level of effort, and appointing a suitable consultant for your needs.</w:t>
                      </w:r>
                    </w:p>
                    <w:p w14:paraId="13960898" w14:textId="77777777" w:rsidR="00B9244E" w:rsidRDefault="00B9244E" w:rsidP="003802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0"/>
                          <w:tab w:val="left" w:pos="142"/>
                        </w:tabs>
                        <w:spacing w:after="80"/>
                        <w:contextualSpacing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Helpdesk is </w:t>
                      </w:r>
                      <w:r w:rsidRPr="003109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financed by the</w:t>
                      </w: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109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Global Strategy for Sustainable Social Development</w:t>
                      </w:r>
                      <w:r w:rsidRPr="00E41D2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D466BD" w14:textId="77777777" w:rsidR="00B9244E" w:rsidRDefault="00B9244E" w:rsidP="003802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0"/>
                          <w:tab w:val="left" w:pos="142"/>
                        </w:tabs>
                        <w:spacing w:after="80"/>
                        <w:ind w:left="714" w:hanging="357"/>
                        <w:contextualSpacing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SOCIAL and TEMA units jointly manage the Helpdesk on behalf of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Sida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6668615" w14:textId="77777777" w:rsidR="00B9244E" w:rsidRDefault="00B9244E" w:rsidP="00B9244E"/>
                  </w:txbxContent>
                </v:textbox>
                <w10:wrap type="square"/>
              </v:shape>
            </w:pict>
          </mc:Fallback>
        </mc:AlternateContent>
      </w:r>
    </w:p>
    <w:p w14:paraId="6DBBCE02" w14:textId="77777777" w:rsidR="003E54C4" w:rsidRDefault="003E54C4">
      <w:pPr>
        <w:jc w:val="center"/>
        <w:rPr>
          <w:b/>
          <w:sz w:val="28"/>
          <w:szCs w:val="28"/>
        </w:rPr>
      </w:pPr>
    </w:p>
    <w:p w14:paraId="77624F2D" w14:textId="66D62C53" w:rsidR="00380245" w:rsidRPr="00FA1159" w:rsidRDefault="00380245" w:rsidP="00380245">
      <w:pPr>
        <w:tabs>
          <w:tab w:val="clear" w:pos="0"/>
          <w:tab w:val="clear" w:pos="7938"/>
          <w:tab w:val="left" w:pos="142"/>
          <w:tab w:val="left" w:pos="7655"/>
        </w:tabs>
        <w:ind w:left="-426" w:right="-426"/>
        <w:rPr>
          <w:rFonts w:asciiTheme="minorHAnsi" w:hAnsiTheme="minorHAnsi" w:cstheme="minorHAnsi"/>
          <w:bCs/>
          <w:sz w:val="22"/>
          <w:szCs w:val="22"/>
        </w:rPr>
      </w:pPr>
      <w:r w:rsidRPr="00380245">
        <w:rPr>
          <w:rFonts w:asciiTheme="minorHAnsi" w:hAnsiTheme="minorHAnsi" w:cstheme="minorHAnsi"/>
          <w:b/>
          <w:color w:val="984806" w:themeColor="accent6" w:themeShade="80"/>
          <w:sz w:val="22"/>
          <w:szCs w:val="22"/>
        </w:rPr>
        <w:t>IMPORTANT!</w:t>
      </w:r>
      <w:r w:rsidRPr="00380245">
        <w:rPr>
          <w:rFonts w:asciiTheme="minorHAnsi" w:hAnsiTheme="minorHAnsi" w:cstheme="minorHAnsi"/>
          <w:bCs/>
          <w:color w:val="984806" w:themeColor="accent6" w:themeShade="80"/>
          <w:sz w:val="22"/>
          <w:szCs w:val="22"/>
        </w:rPr>
        <w:t xml:space="preserve"> </w:t>
      </w:r>
      <w:r w:rsidRPr="00FA1159">
        <w:rPr>
          <w:rFonts w:asciiTheme="minorHAnsi" w:hAnsiTheme="minorHAnsi" w:cstheme="minorHAnsi"/>
          <w:bCs/>
          <w:sz w:val="22"/>
          <w:szCs w:val="22"/>
        </w:rPr>
        <w:t>Note that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903">
        <w:rPr>
          <w:rFonts w:asciiTheme="minorHAnsi" w:hAnsiTheme="minorHAnsi" w:cstheme="minorHAnsi"/>
          <w:bCs/>
          <w:sz w:val="22"/>
          <w:szCs w:val="22"/>
        </w:rPr>
        <w:t xml:space="preserve">due to </w:t>
      </w:r>
      <w:proofErr w:type="spellStart"/>
      <w:r w:rsidRPr="00172903">
        <w:rPr>
          <w:rFonts w:asciiTheme="minorHAnsi" w:hAnsiTheme="minorHAnsi" w:cstheme="minorHAnsi"/>
          <w:bCs/>
          <w:sz w:val="22"/>
          <w:szCs w:val="22"/>
        </w:rPr>
        <w:t>Sida</w:t>
      </w:r>
      <w:r>
        <w:rPr>
          <w:rFonts w:asciiTheme="minorHAnsi" w:hAnsiTheme="minorHAnsi" w:cstheme="minorHAnsi"/>
          <w:bCs/>
          <w:sz w:val="22"/>
          <w:szCs w:val="22"/>
        </w:rPr>
        <w:t>’s</w:t>
      </w:r>
      <w:proofErr w:type="spellEnd"/>
      <w:r w:rsidRPr="00172903">
        <w:rPr>
          <w:rFonts w:asciiTheme="minorHAnsi" w:hAnsiTheme="minorHAnsi" w:cstheme="minorHAnsi"/>
          <w:bCs/>
          <w:sz w:val="22"/>
          <w:szCs w:val="22"/>
        </w:rPr>
        <w:t xml:space="preserve"> invoicing procedures, the last day to make a call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172903">
        <w:rPr>
          <w:rFonts w:asciiTheme="minorHAnsi" w:hAnsiTheme="minorHAnsi" w:cstheme="minorHAnsi"/>
          <w:bCs/>
          <w:sz w:val="22"/>
          <w:szCs w:val="22"/>
        </w:rPr>
        <w:t>off request</w:t>
      </w:r>
      <w:r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Pr="00172903">
        <w:rPr>
          <w:rFonts w:asciiTheme="minorHAnsi" w:hAnsiTheme="minorHAnsi" w:cstheme="minorHAnsi"/>
          <w:bCs/>
          <w:sz w:val="22"/>
          <w:szCs w:val="22"/>
        </w:rPr>
        <w:t xml:space="preserve"> October 30.</w:t>
      </w:r>
      <w:r>
        <w:rPr>
          <w:rFonts w:asciiTheme="minorHAnsi" w:hAnsiTheme="minorHAnsi" w:cstheme="minorHAnsi"/>
          <w:bCs/>
          <w:sz w:val="22"/>
          <w:szCs w:val="22"/>
        </w:rPr>
        <w:t xml:space="preserve"> New requests after this date shall be postponed until January 1 the following year. </w:t>
      </w:r>
    </w:p>
    <w:p w14:paraId="2C517435" w14:textId="77777777" w:rsidR="00E10F96" w:rsidRDefault="00E10F96" w:rsidP="00380245">
      <w:pPr>
        <w:rPr>
          <w:b/>
          <w:sz w:val="32"/>
          <w:szCs w:val="32"/>
        </w:rPr>
      </w:pPr>
    </w:p>
    <w:p w14:paraId="03AE0E8F" w14:textId="77777777" w:rsidR="00B9244E" w:rsidRDefault="00B9244E" w:rsidP="00380245">
      <w:pPr>
        <w:tabs>
          <w:tab w:val="clear" w:pos="0"/>
          <w:tab w:val="left" w:pos="142"/>
        </w:tabs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send this assignment request, or any queries you have about the Helpdesk process, to </w:t>
      </w:r>
      <w:hyperlink r:id="rId9" w:history="1">
        <w:r w:rsidRPr="001228BE">
          <w:rPr>
            <w:rStyle w:val="Hyperlink"/>
            <w:rFonts w:ascii="Calibri" w:eastAsia="Calibri" w:hAnsi="Calibri" w:cs="Calibri"/>
            <w:sz w:val="22"/>
            <w:szCs w:val="22"/>
          </w:rPr>
          <w:t>NCG.health.helpdesk@ncgsw.se</w:t>
        </w:r>
      </w:hyperlink>
      <w:r>
        <w:rPr>
          <w:rFonts w:ascii="Calibri" w:eastAsia="Calibri" w:hAnsi="Calibri" w:cs="Calibri"/>
          <w:sz w:val="22"/>
          <w:szCs w:val="22"/>
        </w:rPr>
        <w:t xml:space="preserve"> (attended by the Helpdesk Advisor - </w:t>
      </w:r>
      <w:r w:rsidRPr="000D5A4E">
        <w:rPr>
          <w:rFonts w:ascii="Calibri" w:eastAsia="Calibri" w:hAnsi="Calibri" w:cs="Calibri"/>
          <w:sz w:val="22"/>
          <w:szCs w:val="22"/>
        </w:rPr>
        <w:t>Marieke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D5A4E">
        <w:rPr>
          <w:rFonts w:ascii="Calibri" w:eastAsia="Calibri" w:hAnsi="Calibri" w:cs="Calibri"/>
          <w:sz w:val="22"/>
          <w:szCs w:val="22"/>
        </w:rPr>
        <w:t>Devillé</w:t>
      </w:r>
      <w:proofErr w:type="spellEnd"/>
      <w:r>
        <w:rPr>
          <w:rFonts w:ascii="Calibri" w:eastAsia="Calibri" w:hAnsi="Calibri" w:cs="Calibri"/>
          <w:sz w:val="22"/>
          <w:szCs w:val="22"/>
        </w:rPr>
        <w:t>, and Project Manager - Hanh Nguyen).</w:t>
      </w:r>
    </w:p>
    <w:p w14:paraId="47712571" w14:textId="77777777" w:rsidR="00B9244E" w:rsidRDefault="00B9244E" w:rsidP="00380245">
      <w:pPr>
        <w:tabs>
          <w:tab w:val="clear" w:pos="0"/>
          <w:tab w:val="left" w:pos="142"/>
        </w:tabs>
        <w:ind w:left="-426"/>
        <w:rPr>
          <w:rFonts w:ascii="Calibri" w:eastAsia="Calibri" w:hAnsi="Calibri" w:cs="Calibri"/>
          <w:sz w:val="22"/>
          <w:szCs w:val="22"/>
        </w:rPr>
      </w:pPr>
    </w:p>
    <w:p w14:paraId="5AB6414E" w14:textId="77777777" w:rsidR="00B9244E" w:rsidRDefault="00B9244E" w:rsidP="00380245">
      <w:pPr>
        <w:tabs>
          <w:tab w:val="clear" w:pos="0"/>
          <w:tab w:val="left" w:pos="142"/>
        </w:tabs>
        <w:ind w:left="-426"/>
        <w:rPr>
          <w:rStyle w:val="Hyperlink"/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More information about the areas of support and services provided by the Helpdesk can be found on NCG’s homepage.</w:t>
      </w:r>
    </w:p>
    <w:p w14:paraId="1CF444B3" w14:textId="77777777" w:rsidR="00B9244E" w:rsidRDefault="00B9244E" w:rsidP="00380245">
      <w:pPr>
        <w:tabs>
          <w:tab w:val="clear" w:pos="0"/>
          <w:tab w:val="left" w:pos="142"/>
        </w:tabs>
        <w:ind w:left="-426"/>
        <w:rPr>
          <w:rStyle w:val="Hyperlink"/>
          <w:rFonts w:ascii="Calibri" w:eastAsia="Calibri" w:hAnsi="Calibri" w:cs="Calibri"/>
          <w:sz w:val="22"/>
          <w:szCs w:val="22"/>
        </w:rPr>
      </w:pPr>
    </w:p>
    <w:p w14:paraId="61FC4810" w14:textId="77777777" w:rsidR="00B9244E" w:rsidRPr="00547423" w:rsidRDefault="00B9244E" w:rsidP="00380245">
      <w:pPr>
        <w:tabs>
          <w:tab w:val="clear" w:pos="0"/>
          <w:tab w:val="left" w:pos="142"/>
        </w:tabs>
        <w:ind w:left="-426"/>
        <w:rPr>
          <w:rFonts w:ascii="Calibri" w:eastAsia="Calibri" w:hAnsi="Calibri" w:cs="Calibri"/>
          <w:sz w:val="22"/>
          <w:szCs w:val="22"/>
        </w:rPr>
      </w:pPr>
      <w:r w:rsidRPr="00547423"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>Thank</w:t>
      </w:r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 xml:space="preserve"> you for using the Helpdesk for Global Health and SRHR!</w:t>
      </w:r>
    </w:p>
    <w:p w14:paraId="3D410F67" w14:textId="26658121" w:rsidR="00B9244E" w:rsidRDefault="00B9244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3223ECD" w14:textId="77777777" w:rsidR="00B9244E" w:rsidRDefault="00B9244E" w:rsidP="00B9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Assignment Request Template</w:t>
      </w:r>
    </w:p>
    <w:p w14:paraId="782A23D8" w14:textId="77777777" w:rsidR="00B9244E" w:rsidRDefault="00B9244E">
      <w:pPr>
        <w:rPr>
          <w:b/>
          <w:sz w:val="32"/>
          <w:szCs w:val="32"/>
        </w:rPr>
      </w:pPr>
    </w:p>
    <w:tbl>
      <w:tblPr>
        <w:tblStyle w:val="a"/>
        <w:tblW w:w="100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1"/>
        <w:gridCol w:w="4224"/>
      </w:tblGrid>
      <w:tr w:rsidR="00E10F96" w:rsidRPr="00235378" w14:paraId="3DEE4F11" w14:textId="77777777" w:rsidTr="00235378">
        <w:trPr>
          <w:trHeight w:val="478"/>
        </w:trPr>
        <w:tc>
          <w:tcPr>
            <w:tcW w:w="5841" w:type="dxa"/>
          </w:tcPr>
          <w:p w14:paraId="4BE3DD09" w14:textId="0B15723D" w:rsidR="00E10F96" w:rsidRPr="00235378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Name of requestor(s): </w:t>
            </w:r>
          </w:p>
        </w:tc>
        <w:tc>
          <w:tcPr>
            <w:tcW w:w="4224" w:type="dxa"/>
          </w:tcPr>
          <w:p w14:paraId="7FA37C8E" w14:textId="1539720E" w:rsidR="00E10F96" w:rsidRPr="00235378" w:rsidRDefault="00E10F9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10F96" w:rsidRPr="00235378" w14:paraId="7500F1EB" w14:textId="77777777" w:rsidTr="00235378">
        <w:trPr>
          <w:trHeight w:val="478"/>
        </w:trPr>
        <w:tc>
          <w:tcPr>
            <w:tcW w:w="5841" w:type="dxa"/>
          </w:tcPr>
          <w:p w14:paraId="7A5C2633" w14:textId="2FC5FAA4" w:rsidR="00E10F96" w:rsidRPr="00235378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Email address:</w:t>
            </w:r>
          </w:p>
        </w:tc>
        <w:tc>
          <w:tcPr>
            <w:tcW w:w="4224" w:type="dxa"/>
          </w:tcPr>
          <w:p w14:paraId="3C32695D" w14:textId="57D94AB7" w:rsidR="00E10F96" w:rsidRPr="00235378" w:rsidRDefault="00E10F9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10F96" w:rsidRPr="00235378" w14:paraId="18A26D64" w14:textId="77777777" w:rsidTr="00235378">
        <w:trPr>
          <w:trHeight w:val="478"/>
        </w:trPr>
        <w:tc>
          <w:tcPr>
            <w:tcW w:w="5841" w:type="dxa"/>
          </w:tcPr>
          <w:p w14:paraId="404DBC1B" w14:textId="795E0B53" w:rsidR="00E10F96" w:rsidRPr="00235378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4224" w:type="dxa"/>
          </w:tcPr>
          <w:p w14:paraId="01363BD8" w14:textId="46144132" w:rsidR="00E10F96" w:rsidRPr="00235378" w:rsidRDefault="00E10F9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10F96" w:rsidRPr="00235378" w14:paraId="0A78478F" w14:textId="77777777" w:rsidTr="00235378">
        <w:trPr>
          <w:trHeight w:val="478"/>
        </w:trPr>
        <w:tc>
          <w:tcPr>
            <w:tcW w:w="5841" w:type="dxa"/>
          </w:tcPr>
          <w:p w14:paraId="2A4B5758" w14:textId="4EA01885" w:rsidR="00E10F96" w:rsidRPr="00235378" w:rsidRDefault="006B4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 w:rsid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Sida</w:t>
            </w:r>
            <w:proofErr w:type="spellEnd"/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Department and Unit or Embassy of Sweden: </w:t>
            </w:r>
          </w:p>
        </w:tc>
        <w:tc>
          <w:tcPr>
            <w:tcW w:w="4224" w:type="dxa"/>
          </w:tcPr>
          <w:p w14:paraId="27628AEC" w14:textId="1215F887" w:rsidR="00E10F96" w:rsidRPr="00235378" w:rsidRDefault="00E10F9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0F96" w:rsidRPr="00235378" w14:paraId="6F797ABE" w14:textId="77777777" w:rsidTr="00235378">
        <w:trPr>
          <w:trHeight w:val="478"/>
        </w:trPr>
        <w:tc>
          <w:tcPr>
            <w:tcW w:w="5841" w:type="dxa"/>
          </w:tcPr>
          <w:p w14:paraId="051C97F0" w14:textId="4FE75E09" w:rsidR="00E10F96" w:rsidRDefault="006B4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Name of relevant Country/Regional/Global Strategy (if applicable)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435DDD2D" w14:textId="5093D312" w:rsidR="00CE6D56" w:rsidRPr="00235378" w:rsidRDefault="00CE6D5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</w:tcPr>
          <w:p w14:paraId="02FAED97" w14:textId="6ED98626" w:rsidR="00E10F96" w:rsidRPr="00235378" w:rsidRDefault="00E10F9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0350" w:rsidRPr="00235378" w14:paraId="2C626C89" w14:textId="77777777" w:rsidTr="00235378">
        <w:trPr>
          <w:trHeight w:val="478"/>
        </w:trPr>
        <w:tc>
          <w:tcPr>
            <w:tcW w:w="5841" w:type="dxa"/>
          </w:tcPr>
          <w:p w14:paraId="37D7B009" w14:textId="246A3C4C" w:rsidR="00390350" w:rsidRPr="00235378" w:rsidRDefault="006B4000" w:rsidP="0077190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 w:rsid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390350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Date of order</w:t>
            </w:r>
            <w:r w:rsidR="00235378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</w:t>
            </w:r>
            <w:r w:rsidR="007F30D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35378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start</w:t>
            </w:r>
            <w:r w:rsidR="007F30D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date</w:t>
            </w:r>
            <w:r w:rsidR="00235378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of assignment</w:t>
            </w:r>
            <w:r w:rsidR="00390350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7C906157" w14:textId="77777777" w:rsidR="00235378" w:rsidRDefault="00CE6D56" w:rsidP="0077190A">
            <w:pP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CE6D56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 xml:space="preserve">TIP: </w:t>
            </w:r>
            <w:r w:rsidR="00235378" w:rsidRPr="00CE6D56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If these differ</w:t>
            </w:r>
            <w:r w:rsidRPr="00CE6D56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, please</w:t>
            </w:r>
            <w:r w:rsidR="00235378" w:rsidRPr="00CE6D56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 xml:space="preserve"> add the start date.</w:t>
            </w:r>
          </w:p>
          <w:p w14:paraId="7422A16D" w14:textId="0F8B1B99" w:rsidR="00CE6D56" w:rsidRPr="00CE6D56" w:rsidRDefault="00CE6D56" w:rsidP="0077190A">
            <w:pP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24" w:type="dxa"/>
          </w:tcPr>
          <w:p w14:paraId="6F97C4B6" w14:textId="29FC45DC" w:rsidR="00390350" w:rsidRPr="00235378" w:rsidRDefault="00390350" w:rsidP="0077190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90350" w:rsidRPr="00235378" w14:paraId="15EB04C4" w14:textId="77777777" w:rsidTr="00235378">
        <w:trPr>
          <w:trHeight w:val="478"/>
        </w:trPr>
        <w:tc>
          <w:tcPr>
            <w:tcW w:w="5841" w:type="dxa"/>
          </w:tcPr>
          <w:p w14:paraId="171A088C" w14:textId="51B8EA9D" w:rsidR="00390350" w:rsidRPr="00235378" w:rsidRDefault="006B4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 w:rsidR="00235378">
              <w:rPr>
                <w:rFonts w:ascii="Calibri" w:eastAsia="Calibri" w:hAnsi="Calibri" w:cs="Calibri"/>
                <w:b/>
                <w:sz w:val="22"/>
                <w:szCs w:val="22"/>
              </w:rPr>
              <w:t>. Deadline</w:t>
            </w:r>
            <w:r w:rsidR="00235378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1557C04B" w14:textId="6278962F" w:rsidR="00390350" w:rsidRDefault="00235378" w:rsidP="00CE6D5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TIP: 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When </w:t>
            </w: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setting 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deadline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>, p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lease consider when the material is needed at </w:t>
            </w:r>
            <w:proofErr w:type="spellStart"/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Sida</w:t>
            </w:r>
            <w:proofErr w:type="spellEnd"/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>/Embassy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allow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for as much time as feasible. This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can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help ensur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e 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access to</w:t>
            </w:r>
            <w:r w:rsidR="00D527D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D527D8" w:rsidRPr="00D527D8">
              <w:rPr>
                <w:rFonts w:ascii="Calibri" w:eastAsia="Calibri" w:hAnsi="Calibri" w:cs="Calibri"/>
                <w:i/>
                <w:sz w:val="22"/>
                <w:szCs w:val="22"/>
              </w:rPr>
              <w:t>the most appropriate consultants</w:t>
            </w:r>
            <w:r w:rsidRPr="0023537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A4CDAC3" w14:textId="66AE7A65" w:rsidR="00CE6D56" w:rsidRPr="00235378" w:rsidRDefault="00CE6D56" w:rsidP="00CE6D5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</w:tcPr>
          <w:p w14:paraId="217162E1" w14:textId="4E10CB88" w:rsidR="00390350" w:rsidRPr="00235378" w:rsidRDefault="0039035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54C4" w:rsidRPr="00235378" w14:paraId="2C39D445" w14:textId="77777777" w:rsidTr="00235378">
        <w:trPr>
          <w:trHeight w:val="478"/>
        </w:trPr>
        <w:tc>
          <w:tcPr>
            <w:tcW w:w="5841" w:type="dxa"/>
          </w:tcPr>
          <w:p w14:paraId="32AB3426" w14:textId="4BD89C0C" w:rsidR="003E54C4" w:rsidRDefault="003E54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Define the thematic category/categories of the request:</w:t>
            </w:r>
          </w:p>
        </w:tc>
        <w:tc>
          <w:tcPr>
            <w:tcW w:w="4224" w:type="dxa"/>
          </w:tcPr>
          <w:p w14:paraId="18503BA8" w14:textId="4F00E49E" w:rsidR="000B68A6" w:rsidRDefault="00000000" w:rsidP="000B68A6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3985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0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B68A6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E6407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0B68A6">
              <w:rPr>
                <w:rFonts w:ascii="Calibri" w:eastAsia="Calibri" w:hAnsi="Calibri" w:cs="Calibri"/>
                <w:sz w:val="22"/>
                <w:szCs w:val="22"/>
              </w:rPr>
              <w:t>Health systems and health services</w:t>
            </w:r>
          </w:p>
          <w:p w14:paraId="590D5FEB" w14:textId="71C5DECA" w:rsidR="000B68A6" w:rsidRDefault="00000000" w:rsidP="000B68A6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1694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8A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B68A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406C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E6407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0B68A6">
              <w:rPr>
                <w:rFonts w:ascii="Calibri" w:eastAsia="Calibri" w:hAnsi="Calibri" w:cs="Calibri"/>
                <w:sz w:val="22"/>
                <w:szCs w:val="22"/>
              </w:rPr>
              <w:t>Sexual and reproductive health and rights (SRHR)</w:t>
            </w:r>
          </w:p>
          <w:p w14:paraId="71259A94" w14:textId="704F5757" w:rsidR="000B68A6" w:rsidRDefault="00000000" w:rsidP="000B68A6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420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8A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B68A6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E6407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0B68A6">
              <w:rPr>
                <w:rFonts w:ascii="Calibri" w:eastAsia="Calibri" w:hAnsi="Calibri" w:cs="Calibri"/>
                <w:sz w:val="22"/>
                <w:szCs w:val="22"/>
              </w:rPr>
              <w:t>Health equity</w:t>
            </w:r>
            <w:r w:rsidR="009406C7">
              <w:rPr>
                <w:rFonts w:ascii="Calibri" w:eastAsia="Calibri" w:hAnsi="Calibri" w:cs="Calibri"/>
                <w:sz w:val="22"/>
                <w:szCs w:val="22"/>
              </w:rPr>
              <w:t xml:space="preserve"> and equality</w:t>
            </w:r>
          </w:p>
          <w:p w14:paraId="5B2DD3BD" w14:textId="23317A54" w:rsidR="000B68A6" w:rsidRDefault="00000000" w:rsidP="000B68A6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352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3A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B68A6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E6407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0B68A6">
              <w:rPr>
                <w:rFonts w:ascii="Calibri" w:eastAsia="Calibri" w:hAnsi="Calibri" w:cs="Calibri"/>
                <w:sz w:val="22"/>
                <w:szCs w:val="22"/>
              </w:rPr>
              <w:t>Global health agenda, incl. governance architecture and emerging areas</w:t>
            </w:r>
          </w:p>
          <w:p w14:paraId="395FFE89" w14:textId="2FD61B9F" w:rsidR="005E73A2" w:rsidRDefault="00000000" w:rsidP="000B68A6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0818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3A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E73A2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proofErr w:type="gramStart"/>
            <w:r w:rsidR="000D5A4E">
              <w:rPr>
                <w:rFonts w:ascii="Calibri" w:eastAsia="Calibri" w:hAnsi="Calibri" w:cs="Calibri"/>
                <w:sz w:val="22"/>
                <w:szCs w:val="22"/>
              </w:rPr>
              <w:t>Other  …</w:t>
            </w:r>
            <w:proofErr w:type="gramEnd"/>
            <w:r w:rsidR="000D5A4E">
              <w:rPr>
                <w:rFonts w:ascii="Calibri" w:eastAsia="Calibri" w:hAnsi="Calibri" w:cs="Calibri"/>
                <w:sz w:val="22"/>
                <w:szCs w:val="22"/>
              </w:rPr>
              <w:t>……</w:t>
            </w:r>
            <w:r w:rsidR="005E73A2">
              <w:rPr>
                <w:rFonts w:ascii="Calibri" w:eastAsia="Calibri" w:hAnsi="Calibri" w:cs="Calibri"/>
                <w:sz w:val="22"/>
                <w:szCs w:val="22"/>
              </w:rPr>
              <w:t>………………………</w:t>
            </w:r>
          </w:p>
          <w:p w14:paraId="6CFC75A3" w14:textId="77777777" w:rsidR="003E54C4" w:rsidRPr="00235378" w:rsidRDefault="003E54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03C2" w:rsidRPr="00235378" w14:paraId="59E6804E" w14:textId="77777777" w:rsidTr="00235378">
        <w:trPr>
          <w:trHeight w:val="478"/>
        </w:trPr>
        <w:tc>
          <w:tcPr>
            <w:tcW w:w="5841" w:type="dxa"/>
          </w:tcPr>
          <w:p w14:paraId="7CE3A48F" w14:textId="683F4618" w:rsidR="009C03C2" w:rsidRPr="00235378" w:rsidRDefault="004A5608" w:rsidP="009C03C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9C03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9C03C2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Estimated number of consulting days required (maximum </w:t>
            </w:r>
            <w:r w:rsidR="009C03C2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9C03C2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working days or </w:t>
            </w:r>
            <w:r w:rsidR="009C03C2">
              <w:rPr>
                <w:rFonts w:ascii="Calibri" w:eastAsia="Calibri" w:hAnsi="Calibri" w:cs="Calibri"/>
                <w:b/>
                <w:sz w:val="22"/>
                <w:szCs w:val="22"/>
              </w:rPr>
              <w:t>40</w:t>
            </w:r>
            <w:r w:rsidR="009C03C2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hours):</w:t>
            </w:r>
          </w:p>
          <w:p w14:paraId="7D930575" w14:textId="77777777" w:rsidR="00803ABD" w:rsidRDefault="009C03C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TIP: If unsure, leave this blank and make an agreement on this with the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Helpdesk </w:t>
            </w:r>
            <w:r w:rsidR="00803ABD">
              <w:rPr>
                <w:rFonts w:ascii="Calibri" w:eastAsia="Calibri" w:hAnsi="Calibri" w:cs="Calibri"/>
                <w:i/>
                <w:sz w:val="22"/>
                <w:szCs w:val="22"/>
              </w:rPr>
              <w:t>Advisor</w:t>
            </w: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>. If an assignment requires less time than originally planned, only the actual time spent on the assignment will be invoiced.</w:t>
            </w:r>
            <w:r w:rsidRPr="0023537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      </w:t>
            </w:r>
          </w:p>
          <w:p w14:paraId="5A90BE39" w14:textId="239DF37F" w:rsidR="009C03C2" w:rsidRPr="004A5608" w:rsidRDefault="009C03C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4224" w:type="dxa"/>
          </w:tcPr>
          <w:p w14:paraId="3E50E042" w14:textId="77777777" w:rsidR="00E64077" w:rsidRDefault="009C03C2" w:rsidP="009C03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</w:t>
            </w:r>
          </w:p>
          <w:p w14:paraId="2F02DB84" w14:textId="5FB7198E" w:rsidR="009C03C2" w:rsidRDefault="00E64077" w:rsidP="009C03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</w:t>
            </w:r>
            <w:r w:rsidR="009C03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5112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3C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C03C2">
              <w:rPr>
                <w:rFonts w:ascii="Calibri" w:eastAsia="Calibri" w:hAnsi="Calibri" w:cs="Calibri"/>
                <w:sz w:val="22"/>
                <w:szCs w:val="22"/>
              </w:rPr>
              <w:t xml:space="preserve">      Maximum 16 hours</w:t>
            </w:r>
          </w:p>
          <w:p w14:paraId="729371B6" w14:textId="68A6FB41" w:rsidR="009C03C2" w:rsidRDefault="009C03C2" w:rsidP="009C03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9963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Maximum 32 hours</w:t>
            </w:r>
          </w:p>
          <w:p w14:paraId="35F3B285" w14:textId="6901EC84" w:rsidR="009C03C2" w:rsidRDefault="009C03C2" w:rsidP="009C03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947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Maximum 40 hours</w:t>
            </w:r>
          </w:p>
          <w:p w14:paraId="152D2FB8" w14:textId="77777777" w:rsidR="009C03C2" w:rsidRDefault="009C03C2" w:rsidP="009C03C2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7DDE72C9" w14:textId="0E5C4138" w:rsidR="009C03C2" w:rsidRPr="00235378" w:rsidRDefault="009C03C2" w:rsidP="00E6407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Specify</w:t>
            </w:r>
            <w:r w:rsidRPr="007F30D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……………………………</w:t>
            </w:r>
          </w:p>
        </w:tc>
      </w:tr>
      <w:tr w:rsidR="00E10F96" w:rsidRPr="00235378" w14:paraId="25C7E831" w14:textId="77777777" w:rsidTr="00235378">
        <w:tc>
          <w:tcPr>
            <w:tcW w:w="5841" w:type="dxa"/>
          </w:tcPr>
          <w:p w14:paraId="5AEC7174" w14:textId="6C5FE93B" w:rsidR="00E10F96" w:rsidRPr="00235378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D5A4E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Indicate any specific technical, thematic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geographical 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or linguistic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knowledge requirements for the consultant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>):</w:t>
            </w:r>
          </w:p>
          <w:p w14:paraId="6048C6A4" w14:textId="77777777" w:rsidR="00E10F96" w:rsidRDefault="0085258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>TIP: If there is clearly a specific competence or experience requirement</w:t>
            </w:r>
            <w:r w:rsidR="00CE6D56">
              <w:rPr>
                <w:rFonts w:ascii="Calibri" w:eastAsia="Calibri" w:hAnsi="Calibri" w:cs="Calibri"/>
                <w:i/>
                <w:sz w:val="22"/>
                <w:szCs w:val="22"/>
              </w:rPr>
              <w:t>,</w:t>
            </w: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please state this. Avoid being too specific if not necessary, as again this can unnecessarily restrict your access to the consultants.</w:t>
            </w:r>
          </w:p>
          <w:p w14:paraId="338BBC29" w14:textId="4CDE06D5" w:rsidR="00CE6D56" w:rsidRPr="00235378" w:rsidRDefault="00CE6D5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224" w:type="dxa"/>
          </w:tcPr>
          <w:p w14:paraId="12BE336F" w14:textId="0DB954E1" w:rsidR="00E10F96" w:rsidRPr="00235378" w:rsidRDefault="00E10F9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10F96" w:rsidRPr="00235378" w14:paraId="3C4F70C8" w14:textId="77777777" w:rsidTr="00235378">
        <w:tc>
          <w:tcPr>
            <w:tcW w:w="5841" w:type="dxa"/>
          </w:tcPr>
          <w:p w14:paraId="0123627E" w14:textId="6C48D6DB" w:rsidR="00E10F96" w:rsidRPr="00235378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D5A4E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Is a field visit necessary? </w:t>
            </w:r>
          </w:p>
          <w:p w14:paraId="048C6CCC" w14:textId="486A3A64" w:rsidR="00547423" w:rsidRPr="00547423" w:rsidRDefault="00852586" w:rsidP="0054742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TIP: Face-to-face meetings can be important, especially for training. However, </w:t>
            </w:r>
            <w:proofErr w:type="gramStart"/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>take into account</w:t>
            </w:r>
            <w:proofErr w:type="gramEnd"/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that travel time can use up the limited consulting days available, and phone/skype interviews can be equally effective.</w:t>
            </w:r>
          </w:p>
          <w:p w14:paraId="45DB526D" w14:textId="77777777" w:rsidR="00547423" w:rsidRPr="00547423" w:rsidRDefault="00547423" w:rsidP="00547423">
            <w:pPr>
              <w:ind w:firstLine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24" w:type="dxa"/>
          </w:tcPr>
          <w:p w14:paraId="02A8018D" w14:textId="77777777" w:rsidR="00AD6D06" w:rsidRDefault="009C03C2" w:rsidP="009C03C2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bookmarkStart w:id="0" w:name="_heading=h.gjdgxs" w:colFirst="0" w:colLast="0"/>
            <w:bookmarkEnd w:id="0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</w:t>
            </w:r>
          </w:p>
          <w:p w14:paraId="239872BF" w14:textId="12AAFAF0" w:rsidR="00235378" w:rsidRPr="009C03C2" w:rsidRDefault="00AD6D06" w:rsidP="009C03C2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</w:t>
            </w:r>
            <w:r w:rsid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id w:val="-94653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3C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235378" w:rsidRP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Yes</w:t>
            </w:r>
          </w:p>
          <w:p w14:paraId="6D351189" w14:textId="6F6EC227" w:rsidR="00CB6481" w:rsidRPr="009C03C2" w:rsidRDefault="009C03C2" w:rsidP="009C03C2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id w:val="-13379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CB6481" w:rsidRP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No</w:t>
            </w:r>
          </w:p>
          <w:p w14:paraId="2A76E0AE" w14:textId="16D80497" w:rsidR="00235378" w:rsidRPr="001C15B0" w:rsidRDefault="00235378" w:rsidP="001C15B0">
            <w:pPr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09F5F89E" w14:textId="77777777" w:rsidR="00E10F96" w:rsidRPr="00235378" w:rsidRDefault="00E10F9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3ABD" w:rsidRPr="00235378" w14:paraId="57DF110D" w14:textId="77777777" w:rsidTr="0037215B">
        <w:trPr>
          <w:trHeight w:val="478"/>
        </w:trPr>
        <w:tc>
          <w:tcPr>
            <w:tcW w:w="5841" w:type="dxa"/>
          </w:tcPr>
          <w:p w14:paraId="51D91A41" w14:textId="3D509A2C" w:rsidR="00803ABD" w:rsidRPr="00235378" w:rsidRDefault="00803ABD" w:rsidP="0037215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</w:t>
            </w:r>
            <w:r w:rsidR="000D5A4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235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Who is the end user of the helpdesk report/support?</w:t>
            </w:r>
          </w:p>
          <w:p w14:paraId="10D108EE" w14:textId="77777777" w:rsidR="00803ABD" w:rsidRPr="00235378" w:rsidRDefault="00803ABD" w:rsidP="0037215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224" w:type="dxa"/>
          </w:tcPr>
          <w:p w14:paraId="3E5059B8" w14:textId="77777777" w:rsidR="00803ABD" w:rsidRPr="009C03C2" w:rsidRDefault="00803ABD" w:rsidP="0037215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id w:val="-44731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P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Sida</w:t>
            </w:r>
            <w:proofErr w:type="spellEnd"/>
            <w:r w:rsidRP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/embassy staff </w:t>
            </w:r>
          </w:p>
          <w:p w14:paraId="2B8EB7B8" w14:textId="77777777" w:rsidR="00803ABD" w:rsidRDefault="00803ABD" w:rsidP="0037215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id w:val="81745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P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Partner</w:t>
            </w:r>
          </w:p>
          <w:p w14:paraId="1D2AD973" w14:textId="77777777" w:rsidR="00803ABD" w:rsidRPr="009C03C2" w:rsidRDefault="00803ABD" w:rsidP="0037215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id w:val="-7950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Pr="009C03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Other   ……………………………</w:t>
            </w:r>
          </w:p>
          <w:p w14:paraId="0FE4CED2" w14:textId="77777777" w:rsidR="00803ABD" w:rsidRPr="00235378" w:rsidRDefault="00803ABD" w:rsidP="0037215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E10F96" w:rsidRPr="00235378" w14:paraId="319BCD97" w14:textId="77777777" w:rsidTr="00B9244E">
        <w:trPr>
          <w:trHeight w:val="1696"/>
        </w:trPr>
        <w:tc>
          <w:tcPr>
            <w:tcW w:w="10065" w:type="dxa"/>
            <w:gridSpan w:val="2"/>
          </w:tcPr>
          <w:p w14:paraId="7DB2307E" w14:textId="5CD5ABAA" w:rsidR="00CE6D56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D5A4E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Assignment description (can be in bullet format)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2DD37E8" w14:textId="238F887D" w:rsidR="00BD2AC0" w:rsidRDefault="0085258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>TIP: Provide a short description of the task</w:t>
            </w:r>
            <w:r w:rsidR="00CE6D56">
              <w:rPr>
                <w:rFonts w:ascii="Calibri" w:eastAsia="Calibri" w:hAnsi="Calibri" w:cs="Calibri"/>
                <w:i/>
                <w:sz w:val="22"/>
                <w:szCs w:val="22"/>
              </w:rPr>
              <w:t>. You</w:t>
            </w: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do not need to go into detail</w:t>
            </w:r>
            <w:r w:rsidR="00CE6D56"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about the background if other documents to be attached could provide this information. </w:t>
            </w:r>
            <w:r w:rsidR="00BD2AC0" w:rsidRPr="007A1B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Please also consider </w:t>
            </w:r>
            <w:proofErr w:type="spellStart"/>
            <w:r w:rsidR="00BD2AC0" w:rsidRPr="007A1BC3">
              <w:rPr>
                <w:rFonts w:ascii="Calibri" w:eastAsia="Calibri" w:hAnsi="Calibri" w:cs="Calibri"/>
                <w:i/>
                <w:sz w:val="22"/>
                <w:szCs w:val="22"/>
              </w:rPr>
              <w:t>Sida’s</w:t>
            </w:r>
            <w:proofErr w:type="spellEnd"/>
            <w:r w:rsidR="00BD2AC0" w:rsidRPr="007A1B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role in the assignment, e.g. providing contacts/material, time needed for you input and/or participation</w:t>
            </w:r>
            <w:r w:rsidR="007F30D9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7E492EA1" w14:textId="77777777" w:rsidR="007F30D9" w:rsidRPr="007A1BC3" w:rsidRDefault="007F30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2530188" w14:textId="77777777" w:rsidR="00E10F96" w:rsidRDefault="00BD2AC0" w:rsidP="001748E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7A1B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</w:t>
            </w:r>
            <w:r w:rsidR="00547423">
              <w:rPr>
                <w:rFonts w:ascii="Calibri" w:eastAsia="Calibri" w:hAnsi="Calibri" w:cs="Calibri"/>
                <w:i/>
                <w:sz w:val="22"/>
                <w:szCs w:val="22"/>
              </w:rPr>
              <w:t>Helpdesk</w:t>
            </w:r>
            <w:r w:rsidRPr="007A1B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will always follow up with a call to clarify the assignment.</w:t>
            </w:r>
          </w:p>
          <w:p w14:paraId="42D07BB0" w14:textId="77777777" w:rsidR="00B9244E" w:rsidRDefault="00B9244E" w:rsidP="001748E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4D6DAFC" w14:textId="0DD82BE0" w:rsidR="00380245" w:rsidRPr="00235378" w:rsidRDefault="00380245" w:rsidP="001748E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E10F96" w:rsidRPr="00235378" w14:paraId="3507B535" w14:textId="77777777">
        <w:trPr>
          <w:trHeight w:val="365"/>
        </w:trPr>
        <w:tc>
          <w:tcPr>
            <w:tcW w:w="10065" w:type="dxa"/>
            <w:gridSpan w:val="2"/>
          </w:tcPr>
          <w:p w14:paraId="20A0B021" w14:textId="6163FDBE" w:rsidR="00547423" w:rsidRDefault="002353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D5A4E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Expected 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utput(s): </w:t>
            </w:r>
          </w:p>
          <w:p w14:paraId="66A88397" w14:textId="322C06BA" w:rsidR="00E10F96" w:rsidRDefault="005474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TIP: </w:t>
            </w:r>
            <w:r w:rsidR="00852586"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>Specify the nature of the output e.g. report/ presentation/ training and, if possible, what an ideal output of this assignment would look like (i.e. what question would it answer?)</w:t>
            </w:r>
          </w:p>
          <w:p w14:paraId="6EEA3CC6" w14:textId="77777777" w:rsidR="00380245" w:rsidRDefault="0038024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59B61E8" w14:textId="7834DEF5" w:rsidR="00CB6481" w:rsidRPr="00235378" w:rsidRDefault="00CB64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10F96" w:rsidRPr="00235378" w14:paraId="565DFB4B" w14:textId="77777777">
        <w:trPr>
          <w:trHeight w:val="365"/>
        </w:trPr>
        <w:tc>
          <w:tcPr>
            <w:tcW w:w="10065" w:type="dxa"/>
            <w:gridSpan w:val="2"/>
          </w:tcPr>
          <w:p w14:paraId="5A8F6816" w14:textId="2A1CE2A3" w:rsidR="00547423" w:rsidRDefault="00235378" w:rsidP="0054523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D5A4E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>Details of attachments</w:t>
            </w:r>
            <w:r w:rsidR="003E54C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852586" w:rsidRPr="0023537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7F045DE" w14:textId="4A98FE77" w:rsidR="00E10F96" w:rsidRDefault="00852586" w:rsidP="0054523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35378">
              <w:rPr>
                <w:rFonts w:ascii="Calibri" w:eastAsia="Calibri" w:hAnsi="Calibri" w:cs="Calibri"/>
                <w:i/>
                <w:sz w:val="22"/>
                <w:szCs w:val="22"/>
              </w:rPr>
              <w:t>TIP: To save time, collect as many of the relevant documents as you can before sending this request</w:t>
            </w:r>
            <w:r w:rsidR="00235378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77019541" w14:textId="12C7C9C4" w:rsidR="001C15B0" w:rsidRDefault="001C15B0" w:rsidP="0054523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C3B349C" w14:textId="164D8B93" w:rsidR="00390350" w:rsidRPr="00235378" w:rsidRDefault="00390350" w:rsidP="00D200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0AAA5CC" w14:textId="77777777" w:rsidR="00390350" w:rsidRDefault="00390350">
      <w:pPr>
        <w:rPr>
          <w:rFonts w:ascii="Calibri" w:eastAsia="Calibri" w:hAnsi="Calibri" w:cs="Calibri"/>
          <w:sz w:val="22"/>
          <w:szCs w:val="22"/>
        </w:rPr>
      </w:pPr>
    </w:p>
    <w:p w14:paraId="737ADC03" w14:textId="77777777" w:rsidR="00E10F96" w:rsidRDefault="00E10F96">
      <w:pPr>
        <w:rPr>
          <w:rFonts w:ascii="Calibri" w:eastAsia="Calibri" w:hAnsi="Calibri" w:cs="Calibri"/>
          <w:sz w:val="22"/>
          <w:szCs w:val="22"/>
        </w:rPr>
      </w:pPr>
    </w:p>
    <w:sectPr w:rsidR="00E10F96" w:rsidSect="00BE0B11">
      <w:headerReference w:type="default" r:id="rId10"/>
      <w:headerReference w:type="first" r:id="rId11"/>
      <w:footerReference w:type="first" r:id="rId12"/>
      <w:pgSz w:w="11907" w:h="16840"/>
      <w:pgMar w:top="1418" w:right="1701" w:bottom="1418" w:left="2268" w:header="567" w:footer="42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2FA0" w14:textId="77777777" w:rsidR="0002616C" w:rsidRDefault="0002616C">
      <w:r>
        <w:separator/>
      </w:r>
    </w:p>
  </w:endnote>
  <w:endnote w:type="continuationSeparator" w:id="0">
    <w:p w14:paraId="1EB0A2AF" w14:textId="77777777" w:rsidR="0002616C" w:rsidRDefault="0002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790" w:type="dxa"/>
      <w:tblInd w:w="-426" w:type="dxa"/>
      <w:tblLook w:val="04A0" w:firstRow="1" w:lastRow="0" w:firstColumn="1" w:lastColumn="0" w:noHBand="0" w:noVBand="1"/>
    </w:tblPr>
    <w:tblGrid>
      <w:gridCol w:w="8790"/>
    </w:tblGrid>
    <w:tr w:rsidR="00BE0B11" w14:paraId="50C4838D" w14:textId="77777777" w:rsidTr="00BE0B11">
      <w:tc>
        <w:tcPr>
          <w:tcW w:w="87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CBBB8A" w14:textId="77777777" w:rsidR="00BE0B11" w:rsidRDefault="00BE0B11" w:rsidP="00BE0B11">
          <w:pPr>
            <w:tabs>
              <w:tab w:val="center" w:pos="4153"/>
              <w:tab w:val="right" w:pos="8306"/>
            </w:tabs>
            <w:spacing w:before="120" w:after="40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 w:rsidRPr="00CE6D56">
            <w:rPr>
              <w:rFonts w:ascii="Calibri" w:eastAsia="Calibri" w:hAnsi="Calibri" w:cs="Calibri"/>
              <w:color w:val="000000"/>
              <w:sz w:val="22"/>
              <w:szCs w:val="22"/>
            </w:rPr>
            <w:t>Sida’s</w:t>
          </w:r>
          <w:proofErr w:type="spellEnd"/>
          <w:r w:rsidRPr="00CE6D56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Helpdesk for Global Health and SRHR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is jointly managed by</w:t>
          </w:r>
        </w:p>
        <w:p w14:paraId="4B5D2E42" w14:textId="7CE65434" w:rsidR="00BE0B11" w:rsidRDefault="00BE0B11" w:rsidP="00BE0B11">
          <w:pPr>
            <w:tabs>
              <w:tab w:val="center" w:pos="4153"/>
              <w:tab w:val="right" w:pos="8306"/>
            </w:tabs>
            <w:spacing w:before="120" w:after="40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Nordic Consulting Group – NCG Sweden (</w:t>
          </w:r>
          <w:hyperlink r:id="rId1" w:history="1">
            <w:r w:rsidRPr="00E41B0D">
              <w:rPr>
                <w:rStyle w:val="Hyperlink"/>
                <w:rFonts w:ascii="Calibri" w:eastAsia="Calibri" w:hAnsi="Calibri" w:cs="Calibri"/>
                <w:sz w:val="22"/>
                <w:szCs w:val="22"/>
              </w:rPr>
              <w:t>www.ncgsw.se</w:t>
            </w:r>
          </w:hyperlink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) and 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hera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(</w:t>
          </w:r>
          <w:hyperlink r:id="rId2" w:history="1">
            <w:r w:rsidRPr="00E41B0D">
              <w:rPr>
                <w:rStyle w:val="Hyperlink"/>
                <w:rFonts w:ascii="Calibri" w:eastAsia="Calibri" w:hAnsi="Calibri" w:cs="Calibri"/>
                <w:sz w:val="22"/>
                <w:szCs w:val="22"/>
              </w:rPr>
              <w:t>www.hera.eu</w:t>
            </w:r>
          </w:hyperlink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)</w:t>
          </w:r>
        </w:p>
      </w:tc>
    </w:tr>
  </w:tbl>
  <w:p w14:paraId="64E718B7" w14:textId="68AA86A3" w:rsidR="00BE0B11" w:rsidRDefault="00BE0B11" w:rsidP="00BE0B11">
    <w:pPr>
      <w:tabs>
        <w:tab w:val="center" w:pos="4153"/>
        <w:tab w:val="right" w:pos="8306"/>
      </w:tabs>
      <w:spacing w:before="120" w:after="40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E0D2" w14:textId="77777777" w:rsidR="0002616C" w:rsidRDefault="0002616C">
      <w:r>
        <w:separator/>
      </w:r>
    </w:p>
  </w:footnote>
  <w:footnote w:type="continuationSeparator" w:id="0">
    <w:p w14:paraId="2A5F6131" w14:textId="77777777" w:rsidR="0002616C" w:rsidRDefault="0002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E21D" w14:textId="1A3D553B" w:rsidR="00E10F96" w:rsidRDefault="00E10F96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46D0" w14:textId="7A54C7CC" w:rsidR="00E10F96" w:rsidRDefault="00CE6D56">
    <w:pPr>
      <w:pBdr>
        <w:top w:val="nil"/>
        <w:left w:val="nil"/>
        <w:bottom w:val="nil"/>
        <w:right w:val="nil"/>
        <w:between w:val="nil"/>
      </w:pBdr>
      <w:tabs>
        <w:tab w:val="left" w:pos="4224"/>
      </w:tabs>
      <w:ind w:left="-1134" w:right="-2268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55920F0" wp14:editId="4AE640F6">
          <wp:simplePos x="0" y="0"/>
          <wp:positionH relativeFrom="column">
            <wp:posOffset>-663318</wp:posOffset>
          </wp:positionH>
          <wp:positionV relativeFrom="paragraph">
            <wp:posOffset>49530</wp:posOffset>
          </wp:positionV>
          <wp:extent cx="1174682" cy="426210"/>
          <wp:effectExtent l="0" t="0" r="6985" b="0"/>
          <wp:wrapSquare wrapText="bothSides"/>
          <wp:docPr id="21444842" name="image1.jpg" descr="S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ida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4682" cy="426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6DEF"/>
    <w:multiLevelType w:val="hybridMultilevel"/>
    <w:tmpl w:val="9104ECCA"/>
    <w:lvl w:ilvl="0" w:tplc="A64C28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A7C"/>
    <w:multiLevelType w:val="hybridMultilevel"/>
    <w:tmpl w:val="7A86E14E"/>
    <w:lvl w:ilvl="0" w:tplc="36D04376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745B"/>
    <w:multiLevelType w:val="hybridMultilevel"/>
    <w:tmpl w:val="283278C8"/>
    <w:lvl w:ilvl="0" w:tplc="A64C28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929"/>
    <w:multiLevelType w:val="hybridMultilevel"/>
    <w:tmpl w:val="DD7C5D28"/>
    <w:lvl w:ilvl="0" w:tplc="153C04AE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6B23"/>
    <w:multiLevelType w:val="hybridMultilevel"/>
    <w:tmpl w:val="CDC4812A"/>
    <w:lvl w:ilvl="0" w:tplc="A64C28B0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37142"/>
    <w:multiLevelType w:val="multilevel"/>
    <w:tmpl w:val="A4361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CB391C"/>
    <w:multiLevelType w:val="hybridMultilevel"/>
    <w:tmpl w:val="8D24F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676D"/>
    <w:multiLevelType w:val="multilevel"/>
    <w:tmpl w:val="2A9CE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BF3CE0"/>
    <w:multiLevelType w:val="multilevel"/>
    <w:tmpl w:val="29A87E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91592410">
    <w:abstractNumId w:val="5"/>
  </w:num>
  <w:num w:numId="2" w16cid:durableId="1114249768">
    <w:abstractNumId w:val="7"/>
  </w:num>
  <w:num w:numId="3" w16cid:durableId="1313021535">
    <w:abstractNumId w:val="8"/>
  </w:num>
  <w:num w:numId="4" w16cid:durableId="208811012">
    <w:abstractNumId w:val="4"/>
  </w:num>
  <w:num w:numId="5" w16cid:durableId="990793559">
    <w:abstractNumId w:val="6"/>
  </w:num>
  <w:num w:numId="6" w16cid:durableId="1553879247">
    <w:abstractNumId w:val="0"/>
  </w:num>
  <w:num w:numId="7" w16cid:durableId="1551647708">
    <w:abstractNumId w:val="2"/>
  </w:num>
  <w:num w:numId="8" w16cid:durableId="41445606">
    <w:abstractNumId w:val="3"/>
  </w:num>
  <w:num w:numId="9" w16cid:durableId="111903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96"/>
    <w:rsid w:val="00024054"/>
    <w:rsid w:val="0002616C"/>
    <w:rsid w:val="00062B24"/>
    <w:rsid w:val="000B68A6"/>
    <w:rsid w:val="000D5A4E"/>
    <w:rsid w:val="000E428F"/>
    <w:rsid w:val="00134AEF"/>
    <w:rsid w:val="00136318"/>
    <w:rsid w:val="00152B6F"/>
    <w:rsid w:val="00172903"/>
    <w:rsid w:val="001748E7"/>
    <w:rsid w:val="001825E1"/>
    <w:rsid w:val="001842D1"/>
    <w:rsid w:val="001C15B0"/>
    <w:rsid w:val="00212E88"/>
    <w:rsid w:val="00235378"/>
    <w:rsid w:val="00280AF0"/>
    <w:rsid w:val="002950FF"/>
    <w:rsid w:val="0029560C"/>
    <w:rsid w:val="002B7B09"/>
    <w:rsid w:val="002F1966"/>
    <w:rsid w:val="00303443"/>
    <w:rsid w:val="00303A03"/>
    <w:rsid w:val="00310927"/>
    <w:rsid w:val="00333FE9"/>
    <w:rsid w:val="00367361"/>
    <w:rsid w:val="00380245"/>
    <w:rsid w:val="00390350"/>
    <w:rsid w:val="003B4B33"/>
    <w:rsid w:val="003C09E9"/>
    <w:rsid w:val="003C0B64"/>
    <w:rsid w:val="003E54C4"/>
    <w:rsid w:val="00462F92"/>
    <w:rsid w:val="004A5608"/>
    <w:rsid w:val="004B1B1A"/>
    <w:rsid w:val="004B61AB"/>
    <w:rsid w:val="0053697D"/>
    <w:rsid w:val="00545234"/>
    <w:rsid w:val="00547423"/>
    <w:rsid w:val="00580ECC"/>
    <w:rsid w:val="00597578"/>
    <w:rsid w:val="005A377A"/>
    <w:rsid w:val="005A4341"/>
    <w:rsid w:val="005A6A4E"/>
    <w:rsid w:val="005C2113"/>
    <w:rsid w:val="005D4721"/>
    <w:rsid w:val="005E73A2"/>
    <w:rsid w:val="00667EC2"/>
    <w:rsid w:val="006B4000"/>
    <w:rsid w:val="006D016D"/>
    <w:rsid w:val="006D0F6A"/>
    <w:rsid w:val="007032FE"/>
    <w:rsid w:val="00726BE2"/>
    <w:rsid w:val="00751957"/>
    <w:rsid w:val="0075715F"/>
    <w:rsid w:val="0078298D"/>
    <w:rsid w:val="007A1BC3"/>
    <w:rsid w:val="007F30D9"/>
    <w:rsid w:val="00803ABD"/>
    <w:rsid w:val="00812E12"/>
    <w:rsid w:val="00834199"/>
    <w:rsid w:val="00852586"/>
    <w:rsid w:val="0089045B"/>
    <w:rsid w:val="008A2A7E"/>
    <w:rsid w:val="008E32B2"/>
    <w:rsid w:val="009406C7"/>
    <w:rsid w:val="009676BF"/>
    <w:rsid w:val="009C03C2"/>
    <w:rsid w:val="009C76C1"/>
    <w:rsid w:val="00A062CA"/>
    <w:rsid w:val="00A821FA"/>
    <w:rsid w:val="00A942D1"/>
    <w:rsid w:val="00A9518D"/>
    <w:rsid w:val="00AC753F"/>
    <w:rsid w:val="00AD6D06"/>
    <w:rsid w:val="00AE147A"/>
    <w:rsid w:val="00AE34D2"/>
    <w:rsid w:val="00B30FCD"/>
    <w:rsid w:val="00B409E2"/>
    <w:rsid w:val="00B45DCA"/>
    <w:rsid w:val="00B670F9"/>
    <w:rsid w:val="00B6777D"/>
    <w:rsid w:val="00B9244E"/>
    <w:rsid w:val="00BC52A6"/>
    <w:rsid w:val="00BD2AC0"/>
    <w:rsid w:val="00BE0B11"/>
    <w:rsid w:val="00BE3B2D"/>
    <w:rsid w:val="00BF39B7"/>
    <w:rsid w:val="00CB6481"/>
    <w:rsid w:val="00CC4C76"/>
    <w:rsid w:val="00CE23DF"/>
    <w:rsid w:val="00CE6D56"/>
    <w:rsid w:val="00D20025"/>
    <w:rsid w:val="00D527D8"/>
    <w:rsid w:val="00D6102F"/>
    <w:rsid w:val="00DE0B20"/>
    <w:rsid w:val="00DF76A5"/>
    <w:rsid w:val="00E10F96"/>
    <w:rsid w:val="00E41D20"/>
    <w:rsid w:val="00E64077"/>
    <w:rsid w:val="00E652B3"/>
    <w:rsid w:val="00EC1BE2"/>
    <w:rsid w:val="00F57279"/>
    <w:rsid w:val="00FA1159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23A943"/>
  <w15:docId w15:val="{547C13AB-BE11-43A2-95B5-F865681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>
      <w:pPr>
        <w:tabs>
          <w:tab w:val="left" w:pos="-1134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A8"/>
    <w:rPr>
      <w:lang w:val="en-GB" w:eastAsia="sv-SE"/>
    </w:rPr>
  </w:style>
  <w:style w:type="paragraph" w:styleId="Heading1">
    <w:name w:val="heading 1"/>
    <w:basedOn w:val="Normal"/>
    <w:next w:val="Normal"/>
    <w:uiPriority w:val="9"/>
    <w:qFormat/>
    <w:rsid w:val="00D618A8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618A8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618A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618A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618A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618A8"/>
    <w:pPr>
      <w:keepNext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D618A8"/>
    <w:pPr>
      <w:keepNext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D618A8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618A8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D618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D618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18A8"/>
  </w:style>
  <w:style w:type="paragraph" w:customStyle="1" w:styleId="ArticleparagrAlt">
    <w:name w:val="Article paragr (Alt+.)"/>
    <w:basedOn w:val="Normal"/>
    <w:next w:val="Normal"/>
    <w:rsid w:val="00D618A8"/>
    <w:pPr>
      <w:keepNext/>
      <w:tabs>
        <w:tab w:val="clear" w:pos="1134"/>
        <w:tab w:val="left" w:pos="1418"/>
      </w:tabs>
      <w:ind w:left="1418" w:hanging="1418"/>
    </w:pPr>
    <w:rPr>
      <w:caps/>
    </w:rPr>
  </w:style>
  <w:style w:type="paragraph" w:customStyle="1" w:styleId="MarginAltm">
    <w:name w:val="Margin (Alt+m)"/>
    <w:basedOn w:val="Normal"/>
    <w:rsid w:val="00D618A8"/>
    <w:pPr>
      <w:ind w:left="-1134" w:right="-1134"/>
    </w:pPr>
  </w:style>
  <w:style w:type="character" w:styleId="CommentReference">
    <w:name w:val="annotation reference"/>
    <w:basedOn w:val="DefaultParagraphFont"/>
    <w:semiHidden/>
    <w:rsid w:val="00D618A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D618A8"/>
    <w:rPr>
      <w:color w:val="FF0000"/>
    </w:rPr>
  </w:style>
  <w:style w:type="paragraph" w:customStyle="1" w:styleId="HangingIndent">
    <w:name w:val="HangingIndent"/>
    <w:basedOn w:val="Normal"/>
    <w:next w:val="Normal"/>
    <w:rsid w:val="00D618A8"/>
    <w:pPr>
      <w:ind w:left="1134" w:hanging="1134"/>
    </w:pPr>
  </w:style>
  <w:style w:type="paragraph" w:customStyle="1" w:styleId="HangingMargin">
    <w:name w:val="HangingMargin"/>
    <w:basedOn w:val="Normal"/>
    <w:next w:val="Normal"/>
    <w:rsid w:val="00D618A8"/>
    <w:pPr>
      <w:ind w:hanging="1134"/>
    </w:pPr>
  </w:style>
  <w:style w:type="paragraph" w:styleId="MacroText">
    <w:name w:val="macro"/>
    <w:semiHidden/>
    <w:rsid w:val="00D61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Rubrik1AltR1">
    <w:name w:val="Rubrik 1 (Alt+R1)"/>
    <w:basedOn w:val="Normal"/>
    <w:next w:val="Normal"/>
    <w:rsid w:val="00D618A8"/>
    <w:pPr>
      <w:keepNext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D618A8"/>
    <w:pPr>
      <w:keepNext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D618A8"/>
    <w:pPr>
      <w:keepNext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D618A8"/>
    <w:pPr>
      <w:keepNext/>
      <w:ind w:left="1134" w:hanging="1134"/>
    </w:pPr>
    <w:rPr>
      <w:i/>
    </w:rPr>
  </w:style>
  <w:style w:type="paragraph" w:styleId="Signature">
    <w:name w:val="Signature"/>
    <w:basedOn w:val="Normal"/>
    <w:rsid w:val="00D618A8"/>
    <w:pPr>
      <w:ind w:left="4320"/>
    </w:pPr>
  </w:style>
  <w:style w:type="paragraph" w:styleId="BalloonText">
    <w:name w:val="Balloon Text"/>
    <w:basedOn w:val="Normal"/>
    <w:link w:val="BalloonTextChar"/>
    <w:rsid w:val="00B34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F8A"/>
    <w:rPr>
      <w:rFonts w:ascii="Tahoma" w:hAnsi="Tahoma" w:cs="Tahoma"/>
      <w:sz w:val="16"/>
      <w:szCs w:val="16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B34F8A"/>
    <w:rPr>
      <w:color w:val="808080"/>
    </w:rPr>
  </w:style>
  <w:style w:type="table" w:styleId="TableGrid">
    <w:name w:val="Table Grid"/>
    <w:basedOn w:val="TableNormal"/>
    <w:rsid w:val="00D1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A6A2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13507"/>
    <w:rPr>
      <w:b/>
      <w:bCs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507"/>
    <w:rPr>
      <w:rFonts w:ascii="Arial" w:hAnsi="Arial"/>
      <w:color w:val="FF0000"/>
      <w:sz w:val="24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E13507"/>
    <w:rPr>
      <w:rFonts w:ascii="Arial" w:hAnsi="Arial"/>
      <w:b/>
      <w:bCs/>
      <w:color w:val="FF0000"/>
      <w:sz w:val="24"/>
      <w:lang w:val="en-GB" w:eastAsia="sv-SE"/>
    </w:rPr>
  </w:style>
  <w:style w:type="character" w:customStyle="1" w:styleId="apple-converted-space">
    <w:name w:val="apple-converted-space"/>
    <w:basedOn w:val="DefaultParagraphFont"/>
    <w:rsid w:val="005E5326"/>
  </w:style>
  <w:style w:type="paragraph" w:styleId="ListParagraph">
    <w:name w:val="List Paragraph"/>
    <w:basedOn w:val="Normal"/>
    <w:uiPriority w:val="34"/>
    <w:qFormat/>
    <w:rsid w:val="005E53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14DF4"/>
    <w:rPr>
      <w:rFonts w:ascii="Arial" w:hAnsi="Arial"/>
      <w:sz w:val="24"/>
      <w:lang w:val="en-GB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B14DF4"/>
    <w:rPr>
      <w:rFonts w:ascii="Arial" w:hAnsi="Arial"/>
      <w:sz w:val="24"/>
      <w:lang w:val="en-GB" w:eastAsia="sv-SE"/>
    </w:rPr>
  </w:style>
  <w:style w:type="character" w:styleId="FollowedHyperlink">
    <w:name w:val="FollowedHyperlink"/>
    <w:basedOn w:val="DefaultParagraphFont"/>
    <w:rsid w:val="00AE13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B9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9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CG.health.helpdesk@ncgsw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a.eu" TargetMode="External"/><Relationship Id="rId1" Type="http://schemas.openxmlformats.org/officeDocument/2006/relationships/hyperlink" Target="http://www.ncgsw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hSPS4drs9kvn3NY20W5Lg8ZFQ==">AMUW2mXUSVQYjIj9UF6q5SMx5PNfOgslxcs+lscLykMYvQ9pKuXJBZHz/tkRYvhelaNZ+4BuIjbLdPagEOyh7UjUsRkXB4YS7TzyWLfd/LY+ZZIP6pet3HLeSKSZg0zhvJGnzONgFajP4Mx/Pj891ik0LzzEYgGk7g==</go:docsCustomData>
</go:gDocsCustomXmlDataStorage>
</file>

<file path=customXml/itemProps1.xml><?xml version="1.0" encoding="utf-8"?>
<ds:datastoreItem xmlns:ds="http://schemas.openxmlformats.org/officeDocument/2006/customXml" ds:itemID="{EDF5D66B-8EC1-468F-92D8-D83ADF854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Pellrud</dc:creator>
  <cp:lastModifiedBy>Hanh Nguyen</cp:lastModifiedBy>
  <cp:revision>34</cp:revision>
  <dcterms:created xsi:type="dcterms:W3CDTF">2023-06-27T12:48:00Z</dcterms:created>
  <dcterms:modified xsi:type="dcterms:W3CDTF">2024-08-28T08:49:00Z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0x010100BBACBA48181A6547A7C0D7998976313200F1D7B04DEFC6104BB3461F98D897A3EA</vt:lpwstr>
  </property>
  <property fmtid="{D5CDD505-2E9C-101B-9397-08002B2CF9AE}" pid="3" name="Organisation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dlc_DocIdItemGuid">
    <vt:lpwstr>4fa4c497-0b46-411a-abdd-ff9786671620</vt:lpwstr>
  </property>
</Properties>
</file>